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AA">
        <w:rPr>
          <w:rFonts w:ascii="Times New Roman" w:hAnsi="Times New Roman" w:cs="Times New Roman"/>
          <w:b/>
          <w:sz w:val="28"/>
          <w:szCs w:val="28"/>
          <w:lang w:val="ru-RU"/>
        </w:rPr>
        <w:t>Булінг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(від англ. </w:t>
      </w:r>
      <w:r w:rsidRPr="00116606">
        <w:rPr>
          <w:rFonts w:ascii="Times New Roman" w:hAnsi="Times New Roman" w:cs="Times New Roman"/>
          <w:sz w:val="28"/>
          <w:szCs w:val="28"/>
        </w:rPr>
        <w:t>bully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— хуліган, залякувати) – 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психічного насильства у вигляді травлі, бойкоту, насмішок,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дезінформації, псуванню особистих речей, фізичній розправі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тощо.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D5DAA">
        <w:rPr>
          <w:rFonts w:ascii="Times New Roman" w:hAnsi="Times New Roman" w:cs="Times New Roman"/>
          <w:b/>
          <w:sz w:val="28"/>
          <w:szCs w:val="28"/>
          <w:lang w:val="ru-RU"/>
        </w:rPr>
        <w:t>Булінг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16606">
        <w:rPr>
          <w:rFonts w:ascii="Times New Roman" w:hAnsi="Times New Roman" w:cs="Times New Roman"/>
          <w:sz w:val="28"/>
          <w:szCs w:val="28"/>
        </w:rPr>
        <w:t>bullying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, від анг. </w:t>
      </w:r>
      <w:r w:rsidRPr="00116606">
        <w:rPr>
          <w:rFonts w:ascii="Times New Roman" w:hAnsi="Times New Roman" w:cs="Times New Roman"/>
          <w:sz w:val="28"/>
          <w:szCs w:val="28"/>
        </w:rPr>
        <w:t>bully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— хуліган, забіяка, задирака,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грубіян, насильник) визначається як утиск, дискримінація,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цькування. Цей термін означає тривалий процес свідомого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жорстокого ставлення (фізичного і психічного) з боку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людини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або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групи до інших </w:t>
      </w:r>
      <w:r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7A98" w:rsidRDefault="00547A98" w:rsidP="0054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роботи з профілактики булінгу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946"/>
        <w:gridCol w:w="2943"/>
      </w:tblGrid>
      <w:tr w:rsidR="00527974" w:rsidTr="00593480">
        <w:tc>
          <w:tcPr>
            <w:tcW w:w="709" w:type="dxa"/>
          </w:tcPr>
          <w:p w:rsidR="00527974" w:rsidRDefault="00123618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946" w:type="dxa"/>
          </w:tcPr>
          <w:p w:rsidR="00527974" w:rsidRDefault="00123618" w:rsidP="00123618">
            <w:pPr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943" w:type="dxa"/>
          </w:tcPr>
          <w:p w:rsidR="00527974" w:rsidRDefault="00123618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Період проведення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Pr="00527974" w:rsidRDefault="00123618" w:rsidP="00593480">
            <w:p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Виявлення групи ризику</w:t>
            </w:r>
          </w:p>
        </w:tc>
        <w:tc>
          <w:tcPr>
            <w:tcW w:w="2943" w:type="dxa"/>
          </w:tcPr>
          <w:p w:rsidR="00123618" w:rsidRDefault="00123618" w:rsidP="0041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вересень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Розробка тренінгової програми «Протидія булінгу» </w:t>
            </w:r>
          </w:p>
        </w:tc>
        <w:tc>
          <w:tcPr>
            <w:tcW w:w="2943" w:type="dxa"/>
          </w:tcPr>
          <w:p w:rsidR="00123618" w:rsidRDefault="00123618" w:rsidP="00E17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жовтень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Виставка дитячих робіт «Насильству</w:t>
            </w:r>
          </w:p>
          <w:p w:rsidR="00123618" w:rsidRPr="00527974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НІ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  <w:r w:rsidRPr="00527974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943" w:type="dxa"/>
          </w:tcPr>
          <w:p w:rsidR="00123618" w:rsidRDefault="00123618" w:rsidP="00B75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Pr="00527974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Засідання МО «Медіація, як засіб запобіган</w:t>
            </w:r>
            <w:r>
              <w:rPr>
                <w:rFonts w:ascii="Times New Roman" w:hAnsi="Times New Roman" w:cs="Times New Roman"/>
                <w:sz w:val="28"/>
              </w:rPr>
              <w:t xml:space="preserve">ня щкільному булінгу» </w:t>
            </w:r>
          </w:p>
        </w:tc>
        <w:tc>
          <w:tcPr>
            <w:tcW w:w="2943" w:type="dxa"/>
          </w:tcPr>
          <w:p w:rsidR="00123618" w:rsidRDefault="00123618" w:rsidP="0041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527974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Проведення тижня </w:t>
            </w:r>
            <w:r w:rsidRPr="00527974">
              <w:rPr>
                <w:rFonts w:ascii="Times New Roman" w:hAnsi="Times New Roman" w:cs="Times New Roman"/>
                <w:sz w:val="28"/>
              </w:rPr>
              <w:t>толерантності</w:t>
            </w:r>
            <w:r>
              <w:rPr>
                <w:rFonts w:ascii="Times New Roman" w:hAnsi="Times New Roman" w:cs="Times New Roman"/>
                <w:sz w:val="28"/>
              </w:rPr>
              <w:t>: виставка дитячих робіт, єдина виховна година,виставка інформаційних колажів.</w:t>
            </w:r>
          </w:p>
        </w:tc>
        <w:tc>
          <w:tcPr>
            <w:tcW w:w="2943" w:type="dxa"/>
          </w:tcPr>
          <w:p w:rsidR="00593480" w:rsidRDefault="00593480" w:rsidP="004146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листопад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Pr="00527974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Круглий стіл вч</w:t>
            </w:r>
            <w:r>
              <w:rPr>
                <w:rFonts w:ascii="Times New Roman" w:hAnsi="Times New Roman" w:cs="Times New Roman"/>
                <w:sz w:val="28"/>
              </w:rPr>
              <w:t xml:space="preserve">ителів, батьків, дітей </w:t>
            </w:r>
          </w:p>
          <w:p w:rsidR="00123618" w:rsidRPr="00527974" w:rsidRDefault="00123618" w:rsidP="00593480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123618" w:rsidRDefault="00123618" w:rsidP="0041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Нарада при директорі на тему булінгу </w:t>
            </w:r>
          </w:p>
        </w:tc>
        <w:tc>
          <w:tcPr>
            <w:tcW w:w="2943" w:type="dxa"/>
          </w:tcPr>
          <w:p w:rsidR="00123618" w:rsidRDefault="00123618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січень</w:t>
            </w:r>
          </w:p>
        </w:tc>
      </w:tr>
      <w:tr w:rsidR="00123618" w:rsidTr="00593480">
        <w:tc>
          <w:tcPr>
            <w:tcW w:w="709" w:type="dxa"/>
          </w:tcPr>
          <w:p w:rsidR="00123618" w:rsidRPr="00593480" w:rsidRDefault="00123618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23618" w:rsidRDefault="00123618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Лекція для учнів з представником ювенальної превенції на тему: «Булінг – складові, наслідки, профілактика» </w:t>
            </w:r>
          </w:p>
        </w:tc>
        <w:tc>
          <w:tcPr>
            <w:tcW w:w="2943" w:type="dxa"/>
          </w:tcPr>
          <w:p w:rsidR="00123618" w:rsidRDefault="00123618" w:rsidP="0007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січень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527974" w:rsidRDefault="00593480" w:rsidP="00DB5FBA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Робота гуртка «Особиста гідність. Безпека життя. Громадянська позиція».</w:t>
            </w:r>
          </w:p>
        </w:tc>
        <w:tc>
          <w:tcPr>
            <w:tcW w:w="2943" w:type="dxa"/>
          </w:tcPr>
          <w:p w:rsidR="00593480" w:rsidRDefault="00593480" w:rsidP="00DB5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Розробка брошури «Що потрібно знати про булінг» </w:t>
            </w:r>
          </w:p>
        </w:tc>
        <w:tc>
          <w:tcPr>
            <w:tcW w:w="2943" w:type="dxa"/>
          </w:tcPr>
          <w:p w:rsidR="00593480" w:rsidRDefault="00593480" w:rsidP="0041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Індивідуальні консультації з батьками щодо протидії булінгу</w:t>
            </w:r>
          </w:p>
        </w:tc>
        <w:tc>
          <w:tcPr>
            <w:tcW w:w="2943" w:type="dxa"/>
          </w:tcPr>
          <w:p w:rsidR="00593480" w:rsidRDefault="00593480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527974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Індивідуальна робот</w:t>
            </w:r>
            <w:r>
              <w:rPr>
                <w:rFonts w:ascii="Times New Roman" w:hAnsi="Times New Roman" w:cs="Times New Roman"/>
                <w:sz w:val="28"/>
              </w:rPr>
              <w:t xml:space="preserve">а психолога з жертвами булінгу: </w:t>
            </w:r>
            <w:r w:rsidRPr="00527974">
              <w:rPr>
                <w:rFonts w:ascii="Times New Roman" w:hAnsi="Times New Roman" w:cs="Times New Roman"/>
                <w:sz w:val="28"/>
              </w:rPr>
              <w:t xml:space="preserve">зниження емоційного напруження та тривожності </w:t>
            </w:r>
          </w:p>
        </w:tc>
        <w:tc>
          <w:tcPr>
            <w:tcW w:w="2943" w:type="dxa"/>
          </w:tcPr>
          <w:p w:rsidR="00593480" w:rsidRDefault="00593480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за запитом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527974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Індивідуальна робота соціального педагога з жертвами булінгу: представництво потерпілих від булінгу в поліції, суді. </w:t>
            </w:r>
          </w:p>
        </w:tc>
        <w:tc>
          <w:tcPr>
            <w:tcW w:w="2943" w:type="dxa"/>
          </w:tcPr>
          <w:p w:rsidR="00593480" w:rsidRDefault="00593480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за запитом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Батьківський всеобуч: «Булінг» </w:t>
            </w:r>
          </w:p>
        </w:tc>
        <w:tc>
          <w:tcPr>
            <w:tcW w:w="2943" w:type="dxa"/>
          </w:tcPr>
          <w:p w:rsidR="00593480" w:rsidRDefault="00593480" w:rsidP="00414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квітень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527974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Засідання Ради профілактики</w:t>
            </w:r>
          </w:p>
          <w:p w:rsidR="00593480" w:rsidRPr="00527974" w:rsidRDefault="00593480" w:rsidP="00593480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593480" w:rsidRDefault="00593480" w:rsidP="00547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 xml:space="preserve">Обстеження житлово – побутових умов </w:t>
            </w:r>
          </w:p>
          <w:p w:rsidR="00593480" w:rsidRPr="00527974" w:rsidRDefault="00593480" w:rsidP="00593480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43" w:type="dxa"/>
          </w:tcPr>
          <w:p w:rsidR="00593480" w:rsidRPr="00527974" w:rsidRDefault="00593480" w:rsidP="00547A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за зверненням батьків, дітей, вчителів</w:t>
            </w:r>
          </w:p>
        </w:tc>
      </w:tr>
      <w:tr w:rsidR="00593480" w:rsidTr="00593480">
        <w:tc>
          <w:tcPr>
            <w:tcW w:w="709" w:type="dxa"/>
          </w:tcPr>
          <w:p w:rsidR="00593480" w:rsidRPr="00593480" w:rsidRDefault="00593480" w:rsidP="005934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3480" w:rsidRPr="000C09DF" w:rsidRDefault="00593480" w:rsidP="000C09DF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Робота</w:t>
            </w:r>
            <w:r w:rsidRPr="0052797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527974">
              <w:rPr>
                <w:rFonts w:ascii="Times New Roman" w:hAnsi="Times New Roman" w:cs="Times New Roman"/>
                <w:sz w:val="28"/>
              </w:rPr>
              <w:t>акультативів</w:t>
            </w:r>
            <w:r>
              <w:rPr>
                <w:rFonts w:ascii="Times New Roman" w:hAnsi="Times New Roman" w:cs="Times New Roman"/>
                <w:sz w:val="28"/>
              </w:rPr>
              <w:t xml:space="preserve"> «Особиста гідність. Безпек</w:t>
            </w:r>
            <w:r w:rsidR="000C09DF">
              <w:rPr>
                <w:rFonts w:ascii="Times New Roman" w:hAnsi="Times New Roman" w:cs="Times New Roman"/>
                <w:sz w:val="28"/>
              </w:rPr>
              <w:t>а життя. Громадянська позиція»</w:t>
            </w:r>
            <w:r w:rsidR="000C09DF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bookmarkStart w:id="0" w:name="_GoBack"/>
            <w:bookmarkEnd w:id="0"/>
          </w:p>
        </w:tc>
        <w:tc>
          <w:tcPr>
            <w:tcW w:w="2943" w:type="dxa"/>
          </w:tcPr>
          <w:p w:rsidR="00593480" w:rsidRPr="00527974" w:rsidRDefault="00593480" w:rsidP="00547A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974"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</w:tbl>
    <w:p w:rsidR="00593480" w:rsidRDefault="00593480" w:rsidP="00547A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AA" w:rsidRPr="000C09DF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lastRenderedPageBreak/>
        <w:t>Підлітковий булінг. Форми: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C09DF">
        <w:rPr>
          <w:rFonts w:ascii="Times New Roman" w:hAnsi="Times New Roman" w:cs="Times New Roman"/>
          <w:sz w:val="28"/>
          <w:szCs w:val="28"/>
        </w:rPr>
        <w:t>1. Фізичний булінг – навмисні стусани, штовхання, удар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побої, нанесення інших тілесних травм.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2. Сексуальний булінг – це підвид фізичного булінгу (дії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сексуального характеру).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3. Психологічний булінг – насилля яке пов`язане з діями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психіку, наносяться психологічні травми шляхом словесних образ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чи погроз, переслідуванням, залякуванням.</w:t>
      </w:r>
    </w:p>
    <w:p w:rsidR="000D5DAA" w:rsidRPr="00831697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Як показує практика, форми шкільного булінгу можуть бути різними: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систематичні кепкування з будь-якого приводу (від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національності до зовнішнього вигляду дитини);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задирство;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фізичні і психічні приниження;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різного виду знущання;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бойкот та ігнорування;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псування особистих речей та ін.</w:t>
      </w:r>
    </w:p>
    <w:p w:rsidR="00593480" w:rsidRPr="000D5DAA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Хулігани (булі) надзвичайно винахідливі. Новітній їхній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"винахід" — кібербулінг, тобто знущання з використанням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електронних засобів комунікації</w:t>
      </w:r>
    </w:p>
    <w:p w:rsidR="000D5DAA" w:rsidRPr="00831697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П’ять міфів про булінг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Стан речей не покращиться, доки ми продовжуватимемо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плутати знущання з виховними методами, що підуть дитині лише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 користь. У цьому контексті, говорячи саме про підлітків,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розглянемо міфи про цькування, в які всі ще вірять у системі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шкільної освіти.</w:t>
      </w:r>
    </w:p>
    <w:p w:rsidR="000D5DAA" w:rsidRPr="00116606" w:rsidRDefault="000D5DAA" w:rsidP="000D5D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Перший міф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. Підлітки - це майже дорослі, і цькування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загартовує їхній характер Підлітки схожі на дорослих лише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фізично, а от щодо головного мозку - все навпаки. Мозок підлітка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перебуває на стадії активного розвитку, що робить його так само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слабким і уразливим, як мозок новонародженої дитини. Ризик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розвитку психічного розладу внаслідок такої грубої поведінки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у дворічного малюка та підлітка однаково високий, бо їхній мозок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функціонує однаково.</w:t>
      </w:r>
    </w:p>
    <w:p w:rsidR="000D5DAA" w:rsidRPr="00116606" w:rsidRDefault="000D5DAA" w:rsidP="000D5D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Другий міф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. Цькування - це прояв любові, що робить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сильнішими Насправді залякування спричиняє стресову реакцію,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під час якої в мозку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вивільняється кортизол. А цей гормон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безпосередньо пов’язаний із депресією, психічним захворюванням,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що також набуває масштабів епідемії серед підлітків. Булінг може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залишити слід назавжди, адже він впливає на гормони, руйнує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зв’язки між клітинами мозку та перешкоджає утворенню нових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нейронів. Жодне з цих явищ не зробить </w:t>
      </w:r>
      <w:r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сильнішою,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розумнішою, не сприятиме розвитку спортивних чи художніх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талантів. Єдиним наслідком буде постійне погіршення стану мозку.</w:t>
      </w:r>
    </w:p>
    <w:p w:rsidR="000D5DAA" w:rsidRDefault="000D5DAA" w:rsidP="000D5D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Третій міф.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Емоційне насильство не таке серйозне, як фізичне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або сексуальне Цькування залишає справжні «неврологічні </w:t>
      </w:r>
      <w:proofErr w:type="gramStart"/>
      <w:r w:rsidRPr="00116606">
        <w:rPr>
          <w:rFonts w:ascii="Times New Roman" w:hAnsi="Times New Roman" w:cs="Times New Roman"/>
          <w:sz w:val="28"/>
          <w:szCs w:val="28"/>
          <w:lang w:val="ru-RU"/>
        </w:rPr>
        <w:t>рубці»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proofErr w:type="gramEnd"/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мозку, які можна побачити за допомогою томографії.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І науковці були просто вражені тим, наскільки ці зміни в мозку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схожі на зміни в мозку дітей, які стали жертвами фізичного 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сексуального насильства в ранньому дитинстві. </w:t>
      </w:r>
    </w:p>
    <w:p w:rsidR="000D5DAA" w:rsidRPr="00116606" w:rsidRDefault="000D5DAA" w:rsidP="000D5D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Четвертий міф.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Булінг - невід’ємний етап дорослішання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Очевидно те, що позитивне, сприятливе середовище дозволяє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підліткам розкриватися і бути щасливими, а «токсичне»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середовище змушує їх страждати, сильно та постійно. Цькування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не закінчується із закінченням школи. Зміни у мозку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є довготривалими, а емоційні шрами можуть залишитись на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життя. Тож учені стверджують, що вкрай важливо як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найшвидше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зупиняти будь-які спроби цькування, де б вони не виникали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наслідки катастрофічно швидко стають невідворотними.</w:t>
      </w:r>
    </w:p>
    <w:p w:rsidR="000D5DAA" w:rsidRPr="00116606" w:rsidRDefault="000D5DAA" w:rsidP="000D5DA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П’ятий міф.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Учні та спортсмени здатні реалізовувати увесь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свій потенціал лише </w:t>
      </w:r>
      <w:proofErr w:type="gramStart"/>
      <w:r w:rsidRPr="00116606">
        <w:rPr>
          <w:rFonts w:ascii="Times New Roman" w:hAnsi="Times New Roman" w:cs="Times New Roman"/>
          <w:sz w:val="28"/>
          <w:szCs w:val="28"/>
          <w:lang w:val="ru-RU"/>
        </w:rPr>
        <w:t>за умов</w:t>
      </w:r>
      <w:proofErr w:type="gramEnd"/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цькування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Клітини мозку, сформовані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 дитинстві, працюють і в підлітковому віці, утворюють нові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з’єднання, а невикористані - поступово відмирають. Отже,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підлітковий вік є вирішальним для формування або руйнування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інтелекту людини. Саме тому потрапляння кортизолу в мозок під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час цькування є настільки руйнівним: він пошкоджує мозкові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структури, які впливають на здатність навчатися, пам’ять,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концентрацію і прийняття рішень. Таким чином, режим цькування,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запроваджений учителем або тренером, ніколи не дозволить дітям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реалізувати свій потенціал повністю. Навпаки, він завдасть їм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серйозної та тривалої шкоди.</w:t>
      </w:r>
    </w:p>
    <w:p w:rsidR="000D5DAA" w:rsidRPr="00831697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Сім кроків, які можна зробити вже сьогодні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1. Навчайте схвалювати. Навчити дітей терпимості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не надто хороша мета. Хто хоче, щоб його терпіли? Кожна людина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потребує схвалення.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2. Мисліть сучасно. Старі методи - карати дітей, які цькують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однолітків, уже в минулому. Значно дієвіше пояснювати учням,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трагічні наслідки може мати булінг. Зараз, на жаль, чимало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повідомлень про підлітків, які через цькування наклали на себе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руки - просто доносьте до відома учнів цю інформацію. Хіба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lastRenderedPageBreak/>
        <w:t>хоче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хтось із них у буквальному розумінні вбити навіть не надто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приємного однокласника?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3. Уведіть співчуття до розкладу. Покарання винного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і запобігання контакту між «задиракою» та «жертвою» - заходи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епізодичні, а тому не надто дієві. Значно корисніше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використовувати сучасні ефективні виховні форми роботи, метою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яких є формування в учнів моральних якостей, емпатії,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толерантності.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4. Уникайте ярликів. У жодному разі не чіпляйте на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«негативні ярлики». Якщо дитину вперто називати «бешкетником»,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їй не залишиться нічого, окрім бешкетувати на знак протесту.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Говоріть лише про дії учнів, але при цьому не оцінюйте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особисто.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5. Залучайте суспільство. Учні повинні дізнатися, 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цькування - це неприйнятно. А щоб повірити в це, вони повинні 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почути від багатьох людей. Слід запрошувати гостей, бажано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авторитетних серед молоді, можливо, навіть місцевих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знаменитостей, для проведення бесід про булінг і його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неприйнятність у престижних колах суспільства. Також слід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створювати в учнів враження, що життя за межами школи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приємне та безпечне, а не залякувати їх розповідями про те, які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жахи чекають на них після закінчення школи, адже ці розповіді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налаштовують на те, що невдовзі доведеться боротися за власне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життя з цілим світом, і змушують заздалегідь «гострити кігті»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об однокласників.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6. Розвивайте творчі здібності. Підійдіть до цього 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творчо. Відомо, що творчість чудово сприймають діти, а творча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робота допомагає їм значно краще засвоїти те, що намагаються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донести вчителі. Пов’яжіть творчість із виховною роботою. Разом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із учнями напишіть сценарій та організуйте виставу, присвячену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темі цькування, або ж улаштуйте виставку малюнків на цю тему.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16606">
        <w:rPr>
          <w:rFonts w:ascii="Times New Roman" w:hAnsi="Times New Roman" w:cs="Times New Roman"/>
          <w:sz w:val="28"/>
          <w:szCs w:val="28"/>
          <w:lang w:val="ru-RU"/>
        </w:rPr>
        <w:t>7. Починайте спочатку. Запобігати цькуванню треба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починати на рівні дитячого садка. Починати в початковій школі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вже занадто пізно. На самому початку потрібно навчати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вільно та зрозуміло висловлювати свої почуття. Крім того, важливо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пояснити дітям, що жертву цькування слід захистити, навіть якщо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всі навколо байдуже спостерігають за її стражданнями. А доки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викорінити цькування не вдалося (а такий стан речей вочевидь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триватиме ще багато-багато років), залишається навчати 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опиратися йому. Головне, що при цьому варто пояснити, -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самі по собі нічого не означають, важливі лише емоції, які 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пов’язуємо з певним словом. Адже якщо, наприклад, у батьків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є дивна звичка лагідним голосом говорити дитині «ти мій дурник»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- дитина вважатиме слово «дурник» схвальним, доки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не зіштовхнеться з ним поза своєю родиною. А якщо ситуація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цілком залежить від наших емоцій - нам цілком до снаги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її змінити.</w:t>
      </w:r>
    </w:p>
    <w:p w:rsidR="00593480" w:rsidRPr="000D5DAA" w:rsidRDefault="00593480" w:rsidP="00547A9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5DAA" w:rsidRPr="00831697" w:rsidRDefault="000D5DAA" w:rsidP="000D5D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697">
        <w:rPr>
          <w:rFonts w:ascii="Times New Roman" w:hAnsi="Times New Roman" w:cs="Times New Roman"/>
          <w:b/>
          <w:sz w:val="28"/>
          <w:szCs w:val="28"/>
          <w:lang w:val="ru-RU"/>
        </w:rPr>
        <w:t>Технологія реагування працівників школи на виявлені або встановлені факти булінгу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під час встановлення факту або в разі підозри на наявність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булінгу, батьки або вчитель повідомляє про це адміністрації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навчального закладу;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адміністрація спільно з соціально-психологічною службою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школи невідкладно реагує на подані факти;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безпосередня робота класного керівника, практичного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психолога та соціального педагога з булерами та жертвами;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бесіда з учнями класу щодо з'ясування проявів булінгу;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бесіда окремо з булерами та окремо з жертвами третирування;</w:t>
      </w:r>
    </w:p>
    <w:p w:rsidR="000D5DAA" w:rsidRPr="00116606" w:rsidRDefault="000D5DAA" w:rsidP="000D5D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 xml:space="preserve"> бесіда окремо з батьками булерів та окремо з батьками жертв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булінгу щодо ситуації, що склалася та визначення шляхів її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6606">
        <w:rPr>
          <w:rFonts w:ascii="Times New Roman" w:hAnsi="Times New Roman" w:cs="Times New Roman"/>
          <w:sz w:val="28"/>
          <w:szCs w:val="28"/>
          <w:lang w:val="ru-RU"/>
        </w:rPr>
        <w:t>подолання;</w:t>
      </w:r>
    </w:p>
    <w:p w:rsidR="00940551" w:rsidRDefault="000D5DAA" w:rsidP="00780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AA">
        <w:rPr>
          <w:rFonts w:ascii="Times New Roman" w:hAnsi="Times New Roman" w:cs="Times New Roman"/>
          <w:sz w:val="28"/>
          <w:szCs w:val="28"/>
        </w:rPr>
        <w:t>-</w:t>
      </w:r>
      <w:r w:rsidRPr="000D5DAA">
        <w:rPr>
          <w:rFonts w:ascii="Times New Roman" w:hAnsi="Times New Roman" w:cs="Times New Roman"/>
          <w:sz w:val="28"/>
          <w:szCs w:val="28"/>
          <w:lang w:val="ru-RU"/>
        </w:rPr>
        <w:t xml:space="preserve"> відпрацювання навичок поведінки жертв та вивелення їх зі стану жертви</w:t>
      </w:r>
      <w:r w:rsidR="00780134">
        <w:rPr>
          <w:rFonts w:ascii="Times New Roman" w:hAnsi="Times New Roman" w:cs="Times New Roman"/>
          <w:b/>
          <w:sz w:val="28"/>
          <w:szCs w:val="28"/>
        </w:rPr>
        <w:t>.</w:t>
      </w:r>
    </w:p>
    <w:p w:rsidR="00940551" w:rsidRDefault="00940551" w:rsidP="0094055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результатом розглядання справи учасники боулінгу притягуються до відповідальності </w:t>
      </w:r>
      <w:r w:rsidRPr="00593480">
        <w:rPr>
          <w:rFonts w:ascii="Times New Roman" w:hAnsi="Times New Roman" w:cs="Times New Roman"/>
          <w:b/>
          <w:sz w:val="28"/>
          <w:szCs w:val="28"/>
        </w:rPr>
        <w:t>ст. 173</w:t>
      </w:r>
      <w:r>
        <w:rPr>
          <w:rFonts w:ascii="Times New Roman" w:hAnsi="Times New Roman" w:cs="Times New Roman"/>
          <w:sz w:val="28"/>
          <w:szCs w:val="28"/>
        </w:rPr>
        <w:t xml:space="preserve"> (адміністративна відповідальність, постанова на облік та ін.).</w:t>
      </w:r>
      <w:r w:rsidRPr="000D5D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E60B9" w:rsidRPr="000D5DAA" w:rsidRDefault="00AE60B9" w:rsidP="0094055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E60B9" w:rsidRPr="000D5DAA" w:rsidSect="008977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3EFF"/>
    <w:multiLevelType w:val="hybridMultilevel"/>
    <w:tmpl w:val="15F82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328C1"/>
    <w:multiLevelType w:val="hybridMultilevel"/>
    <w:tmpl w:val="7BF6190C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9714C"/>
    <w:multiLevelType w:val="hybridMultilevel"/>
    <w:tmpl w:val="46E880BA"/>
    <w:lvl w:ilvl="0" w:tplc="0422000F">
      <w:start w:val="1"/>
      <w:numFmt w:val="decimal"/>
      <w:lvlText w:val="%1."/>
      <w:lvlJc w:val="left"/>
      <w:pPr>
        <w:ind w:left="1352" w:hanging="360"/>
      </w:pPr>
    </w:lvl>
    <w:lvl w:ilvl="1" w:tplc="0422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2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2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2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2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7C760B5F"/>
    <w:multiLevelType w:val="hybridMultilevel"/>
    <w:tmpl w:val="E2A44E42"/>
    <w:lvl w:ilvl="0" w:tplc="C818D53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7A98"/>
    <w:rsid w:val="000C09DF"/>
    <w:rsid w:val="000D5DAA"/>
    <w:rsid w:val="00123618"/>
    <w:rsid w:val="002A2C54"/>
    <w:rsid w:val="00362BDA"/>
    <w:rsid w:val="003B1FA9"/>
    <w:rsid w:val="003B297B"/>
    <w:rsid w:val="00527974"/>
    <w:rsid w:val="00547A98"/>
    <w:rsid w:val="00593480"/>
    <w:rsid w:val="00780134"/>
    <w:rsid w:val="008977A6"/>
    <w:rsid w:val="00940551"/>
    <w:rsid w:val="00A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2CF4"/>
  <w15:docId w15:val="{C2A47FE0-0B1A-4A07-9A03-F2F1CAE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98"/>
    <w:pPr>
      <w:ind w:left="720"/>
      <w:contextualSpacing/>
    </w:pPr>
  </w:style>
  <w:style w:type="table" w:styleId="a4">
    <w:name w:val="Table Grid"/>
    <w:basedOn w:val="a1"/>
    <w:uiPriority w:val="59"/>
    <w:rsid w:val="00527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6038</Words>
  <Characters>3443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12</cp:revision>
  <dcterms:created xsi:type="dcterms:W3CDTF">2019-02-04T10:46:00Z</dcterms:created>
  <dcterms:modified xsi:type="dcterms:W3CDTF">2019-12-04T07:16:00Z</dcterms:modified>
</cp:coreProperties>
</file>